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A7CB4" w:rsidRDefault="005565D2">
      <w:pPr>
        <w:bidi/>
        <w:spacing w:before="240" w:after="240"/>
        <w:jc w:val="center"/>
        <w:rPr>
          <w:rFonts w:ascii="Tajawal" w:eastAsia="Tajawal" w:hAnsi="Tajawal" w:cs="Tajawal"/>
          <w:b/>
          <w:bCs/>
          <w:sz w:val="28"/>
          <w:szCs w:val="28"/>
          <w:rtl/>
          <w:lang w:bidi="ar"/>
        </w:rPr>
      </w:pPr>
      <w:r>
        <w:rPr>
          <w:rFonts w:ascii="Tajawal" w:eastAsia="Tajawal" w:hAnsi="Tajawal" w:cs="Times New Roman"/>
          <w:b/>
          <w:bCs/>
          <w:sz w:val="28"/>
          <w:szCs w:val="28"/>
          <w:rtl/>
        </w:rPr>
        <w:t>جلسات حوار حول دور منظمات المجتمع المدني في مناهضة خطاب الكراهية بشمال شرقي سوريا</w:t>
      </w:r>
    </w:p>
    <w:p w14:paraId="68E0F54B" w14:textId="77777777" w:rsidR="005565D2" w:rsidRDefault="005565D2">
      <w:pPr>
        <w:bidi/>
        <w:spacing w:before="240" w:after="240"/>
        <w:rPr>
          <w:rFonts w:ascii="Tajawal" w:eastAsia="Tajawal" w:hAnsi="Tajawal" w:cs="Times New Roman"/>
          <w:sz w:val="28"/>
          <w:szCs w:val="28"/>
          <w:rtl/>
        </w:rPr>
      </w:pPr>
    </w:p>
    <w:p w14:paraId="00000003" w14:textId="0419B27C" w:rsidR="00FA7CB4" w:rsidRDefault="005565D2" w:rsidP="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 xml:space="preserve">نفذت كل من منظمة </w:t>
      </w:r>
      <w:proofErr w:type="spellStart"/>
      <w:r>
        <w:rPr>
          <w:rFonts w:ascii="Tajawal" w:eastAsia="Tajawal" w:hAnsi="Tajawal" w:cs="Times New Roman"/>
          <w:sz w:val="28"/>
          <w:szCs w:val="28"/>
          <w:rtl/>
        </w:rPr>
        <w:t>نيكستيب</w:t>
      </w:r>
      <w:proofErr w:type="spellEnd"/>
      <w:r>
        <w:rPr>
          <w:rFonts w:ascii="Tajawal" w:eastAsia="Tajawal" w:hAnsi="Tajawal" w:cs="Times New Roman"/>
          <w:sz w:val="28"/>
          <w:szCs w:val="28"/>
          <w:rtl/>
        </w:rPr>
        <w:t xml:space="preserve"> ومنظمة جسور الأمل والمركز السوري للدراسات والحوار، جلسة حوارية تحت عنوان </w:t>
      </w:r>
      <w:r>
        <w:rPr>
          <w:rFonts w:ascii="Tajawal" w:eastAsia="Tajawal" w:hAnsi="Tajawal" w:cs="Tajawal"/>
          <w:sz w:val="28"/>
          <w:szCs w:val="28"/>
          <w:rtl/>
        </w:rPr>
        <w:t>"</w:t>
      </w:r>
      <w:r>
        <w:rPr>
          <w:rFonts w:ascii="Tajawal" w:eastAsia="Tajawal" w:hAnsi="Tajawal" w:cs="Times New Roman"/>
          <w:sz w:val="28"/>
          <w:szCs w:val="28"/>
          <w:rtl/>
        </w:rPr>
        <w:t xml:space="preserve">دور منظمات المجتمع المدني والشخصيات الفاعلة في مناهضة </w:t>
      </w:r>
      <w:r>
        <w:rPr>
          <w:rFonts w:ascii="Tajawal" w:eastAsia="Tajawal" w:hAnsi="Tajawal" w:cs="Times New Roman"/>
          <w:sz w:val="28"/>
          <w:szCs w:val="28"/>
          <w:rtl/>
        </w:rPr>
        <w:t>خطاب الكراهية بشمال شرقي سوريا، وتم تنفيذ الجلسة في أربع مناطق وهي قامشلي، حسكة، رقة، ودير الزور</w:t>
      </w:r>
      <w:r>
        <w:rPr>
          <w:rFonts w:ascii="Tajawal" w:eastAsia="Tajawal" w:hAnsi="Tajawal" w:cs="Times New Roman" w:hint="cs"/>
          <w:sz w:val="28"/>
          <w:szCs w:val="28"/>
          <w:rtl/>
        </w:rPr>
        <w:t>، خلال شهر تشرين الأول 2025</w:t>
      </w:r>
      <w:r>
        <w:rPr>
          <w:rFonts w:ascii="Tajawal" w:eastAsia="Tajawal" w:hAnsi="Tajawal" w:cs="Times New Roman"/>
          <w:sz w:val="28"/>
          <w:szCs w:val="28"/>
          <w:rtl/>
        </w:rPr>
        <w:t>، وشارك في الجلسات مجموعة من الناشطين</w:t>
      </w:r>
      <w:r>
        <w:rPr>
          <w:rFonts w:ascii="Tajawal" w:eastAsia="Tajawal" w:hAnsi="Tajawal" w:cs="Tajawal"/>
          <w:sz w:val="28"/>
          <w:szCs w:val="28"/>
          <w:rtl/>
        </w:rPr>
        <w:t>/</w:t>
      </w:r>
      <w:r>
        <w:rPr>
          <w:rFonts w:ascii="Tajawal" w:eastAsia="Tajawal" w:hAnsi="Tajawal" w:cs="Times New Roman"/>
          <w:sz w:val="28"/>
          <w:szCs w:val="28"/>
          <w:rtl/>
        </w:rPr>
        <w:t>ات في المجتمع المدني، وشخصيات فاعلة ومؤثرة في المجتمعات المحلية</w:t>
      </w:r>
      <w:r>
        <w:rPr>
          <w:rFonts w:ascii="Tajawal" w:eastAsia="Tajawal" w:hAnsi="Tajawal" w:cs="Tajawal"/>
          <w:sz w:val="28"/>
          <w:szCs w:val="28"/>
          <w:rtl/>
        </w:rPr>
        <w:t xml:space="preserve">. </w:t>
      </w:r>
    </w:p>
    <w:p w14:paraId="00000004"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بدأت الجلسة بمناقشة أبرز العوامل الاجتماعية، الثقافية، و</w:t>
      </w:r>
      <w:r>
        <w:rPr>
          <w:rFonts w:ascii="Tajawal" w:eastAsia="Tajawal" w:hAnsi="Tajawal" w:cs="Times New Roman"/>
          <w:sz w:val="28"/>
          <w:szCs w:val="28"/>
          <w:rtl/>
        </w:rPr>
        <w:t>السياسية المغذية لخطاب الكراهية بشمال شرقي سوريا، وتحديد أبرز أنماطه واتجاهاته، حيث أكد الحضور أن خطاب الكراهية في سوريا ليس جديداً، وتعود جذوره لسياسات النظام السوري السابق، لاسيّما التهميش الاقتصادي، تعزيز الانقسامات القبلية، والتمييز بين المكوّنات، من ق</w:t>
      </w:r>
      <w:r>
        <w:rPr>
          <w:rFonts w:ascii="Tajawal" w:eastAsia="Tajawal" w:hAnsi="Tajawal" w:cs="Times New Roman"/>
          <w:sz w:val="28"/>
          <w:szCs w:val="28"/>
          <w:rtl/>
        </w:rPr>
        <w:t>بيل مشروع الحزام العربي، والإحصاء الاستثنائي في حسكة</w:t>
      </w:r>
      <w:r>
        <w:rPr>
          <w:rFonts w:ascii="Tajawal" w:eastAsia="Tajawal" w:hAnsi="Tajawal" w:cs="Tajawal"/>
          <w:sz w:val="28"/>
          <w:szCs w:val="28"/>
          <w:rtl/>
        </w:rPr>
        <w:t xml:space="preserve">. </w:t>
      </w:r>
    </w:p>
    <w:p w14:paraId="00000005"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وأشار المتحاورون</w:t>
      </w:r>
      <w:r>
        <w:rPr>
          <w:rFonts w:ascii="Tajawal" w:eastAsia="Tajawal" w:hAnsi="Tajawal" w:cs="Tajawal"/>
          <w:sz w:val="28"/>
          <w:szCs w:val="28"/>
          <w:rtl/>
        </w:rPr>
        <w:t>/</w:t>
      </w:r>
      <w:r>
        <w:rPr>
          <w:rFonts w:ascii="Tajawal" w:eastAsia="Tajawal" w:hAnsi="Tajawal" w:cs="Times New Roman"/>
          <w:sz w:val="28"/>
          <w:szCs w:val="28"/>
          <w:rtl/>
        </w:rPr>
        <w:t xml:space="preserve">ات إلى أنه ومع اندلاع الحرب السورية، تصاعد خطاب الكراهية والخطاب التحريضي بشكل علني، وبتغذية من أطراف خارجية عديدة، ورأى البعض أنّ مناطق شمال شرقي سوريا لا تزال في معاناة مع غياب </w:t>
      </w:r>
      <w:proofErr w:type="spellStart"/>
      <w:r>
        <w:rPr>
          <w:rFonts w:ascii="Tajawal" w:eastAsia="Tajawal" w:hAnsi="Tajawal" w:cs="Times New Roman"/>
          <w:sz w:val="28"/>
          <w:szCs w:val="28"/>
          <w:rtl/>
        </w:rPr>
        <w:t>حوكمة</w:t>
      </w:r>
      <w:proofErr w:type="spellEnd"/>
      <w:r>
        <w:rPr>
          <w:rFonts w:ascii="Tajawal" w:eastAsia="Tajawal" w:hAnsi="Tajawal" w:cs="Times New Roman"/>
          <w:sz w:val="28"/>
          <w:szCs w:val="28"/>
          <w:rtl/>
        </w:rPr>
        <w:t xml:space="preserve"> فعالية، وخلافات قد تشتد فيما يخص بعض القضايا مثل التعليم وغيرها، وعلى الرغم من ذلك فإن وتيرة خطاب الكراهية في المنطقة أدنى من باقي المناطق السورية</w:t>
      </w:r>
      <w:r>
        <w:rPr>
          <w:rFonts w:ascii="Tajawal" w:eastAsia="Tajawal" w:hAnsi="Tajawal" w:cs="Tajawal"/>
          <w:sz w:val="28"/>
          <w:szCs w:val="28"/>
          <w:rtl/>
        </w:rPr>
        <w:t>.</w:t>
      </w:r>
    </w:p>
    <w:p w14:paraId="00000006"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وفي المحور الثاني من الجلسة، ناقش</w:t>
      </w:r>
      <w:r>
        <w:rPr>
          <w:rFonts w:ascii="Tajawal" w:eastAsia="Tajawal" w:hAnsi="Tajawal" w:cs="Tajawal"/>
          <w:sz w:val="28"/>
          <w:szCs w:val="28"/>
          <w:rtl/>
        </w:rPr>
        <w:t>/</w:t>
      </w:r>
      <w:r>
        <w:rPr>
          <w:rFonts w:ascii="Tajawal" w:eastAsia="Tajawal" w:hAnsi="Tajawal" w:cs="Times New Roman"/>
          <w:sz w:val="28"/>
          <w:szCs w:val="28"/>
          <w:rtl/>
        </w:rPr>
        <w:t>ت المشاركون</w:t>
      </w:r>
      <w:r>
        <w:rPr>
          <w:rFonts w:ascii="Tajawal" w:eastAsia="Tajawal" w:hAnsi="Tajawal" w:cs="Tajawal"/>
          <w:sz w:val="28"/>
          <w:szCs w:val="28"/>
          <w:rtl/>
        </w:rPr>
        <w:t>/</w:t>
      </w:r>
      <w:r>
        <w:rPr>
          <w:rFonts w:ascii="Tajawal" w:eastAsia="Tajawal" w:hAnsi="Tajawal" w:cs="Times New Roman"/>
          <w:sz w:val="28"/>
          <w:szCs w:val="28"/>
          <w:rtl/>
        </w:rPr>
        <w:t>ات دور منظمات المجتمع المدني في مواجهة خطاب الكراهية ومدى فاع</w:t>
      </w:r>
      <w:r>
        <w:rPr>
          <w:rFonts w:ascii="Tajawal" w:eastAsia="Tajawal" w:hAnsi="Tajawal" w:cs="Times New Roman"/>
          <w:sz w:val="28"/>
          <w:szCs w:val="28"/>
          <w:rtl/>
        </w:rPr>
        <w:t>لية هذه الجهود، وتأثير الشخصيات الفاعلة في مواجهة هذا الخطاب، حيث رأى البعض أن تدخلات منظمات المجتمع المدني لا تتجاوز بعض القضايا البسيطة، وطرحها بشكل سطحي دون التعمق في جذور المشكلة</w:t>
      </w:r>
      <w:r>
        <w:rPr>
          <w:rFonts w:ascii="Tajawal" w:eastAsia="Tajawal" w:hAnsi="Tajawal" w:cs="Tajawal"/>
          <w:sz w:val="28"/>
          <w:szCs w:val="28"/>
          <w:rtl/>
        </w:rPr>
        <w:t xml:space="preserve">. </w:t>
      </w:r>
    </w:p>
    <w:p w14:paraId="00000007"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وأكد الحضور على أن المجتمع المدني يعاني من ضعف في التنظيم، وغياب العلاق</w:t>
      </w:r>
      <w:r>
        <w:rPr>
          <w:rFonts w:ascii="Tajawal" w:eastAsia="Tajawal" w:hAnsi="Tajawal" w:cs="Times New Roman"/>
          <w:sz w:val="28"/>
          <w:szCs w:val="28"/>
          <w:rtl/>
        </w:rPr>
        <w:t xml:space="preserve">ة مع الشخصيات الفاعلة، وضعف القدرة على الوصول إلى المجتمعات المنوعة والمناطق المهمشة، ولا يزال دوره ضعيفاً نتيجة غياب المبادرات الفعلية، وضعف السلطة القانونية، والاعتماد على شكل موحد للفعاليات، </w:t>
      </w:r>
    </w:p>
    <w:p w14:paraId="00000008"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t>وفي المحور الأخير من الجلسة، ناقش الحضور سبل مواجهة خطاب الكر</w:t>
      </w:r>
      <w:r>
        <w:rPr>
          <w:rFonts w:ascii="Tajawal" w:eastAsia="Tajawal" w:hAnsi="Tajawal" w:cs="Times New Roman"/>
          <w:sz w:val="28"/>
          <w:szCs w:val="28"/>
          <w:rtl/>
        </w:rPr>
        <w:t>اهية، وكيفية تعزيز دور منظمات المجتمع المدني في مكافحة هذا الخطاب، حيث أشار البعض أن غياب القوانين التي تجرّم خطاب الكراهية يفاقم المشكلة، لذا فإنه يتطلب من هذه المنظمات الضغط لسن قوانين وتشريعات واضحة في هذا الخصوص، ورفع الوعي تجاه الفرق بين خطاب الكراهية</w:t>
      </w:r>
      <w:r>
        <w:rPr>
          <w:rFonts w:ascii="Tajawal" w:eastAsia="Tajawal" w:hAnsi="Tajawal" w:cs="Times New Roman"/>
          <w:sz w:val="28"/>
          <w:szCs w:val="28"/>
          <w:rtl/>
        </w:rPr>
        <w:t xml:space="preserve"> وحرية التعبير، مؤكّدين</w:t>
      </w:r>
      <w:r>
        <w:rPr>
          <w:rFonts w:ascii="Tajawal" w:eastAsia="Tajawal" w:hAnsi="Tajawal" w:cs="Tajawal"/>
          <w:sz w:val="28"/>
          <w:szCs w:val="28"/>
          <w:rtl/>
        </w:rPr>
        <w:t>/</w:t>
      </w:r>
      <w:r>
        <w:rPr>
          <w:rFonts w:ascii="Tajawal" w:eastAsia="Tajawal" w:hAnsi="Tajawal" w:cs="Times New Roman"/>
          <w:sz w:val="28"/>
          <w:szCs w:val="28"/>
          <w:rtl/>
        </w:rPr>
        <w:t>ات أن النساء يتعرضن لخطاب كراهية مضاعف، يحد من مشاركتهن السياسية والاجتماعية، في ظل غياب دور حقيقي للمنظمات في مناصرة حقوقهن</w:t>
      </w:r>
      <w:r>
        <w:rPr>
          <w:rFonts w:ascii="Tajawal" w:eastAsia="Tajawal" w:hAnsi="Tajawal" w:cs="Tajawal"/>
          <w:sz w:val="28"/>
          <w:szCs w:val="28"/>
          <w:rtl/>
        </w:rPr>
        <w:t xml:space="preserve">. </w:t>
      </w:r>
    </w:p>
    <w:p w14:paraId="00000009" w14:textId="77777777" w:rsidR="00FA7CB4" w:rsidRDefault="005565D2">
      <w:pPr>
        <w:bidi/>
        <w:spacing w:before="240" w:after="240"/>
        <w:rPr>
          <w:rFonts w:ascii="Tajawal" w:eastAsia="Tajawal" w:hAnsi="Tajawal" w:cs="Tajawal"/>
          <w:sz w:val="28"/>
          <w:szCs w:val="28"/>
          <w:rtl/>
          <w:lang w:bidi="ar"/>
        </w:rPr>
      </w:pPr>
      <w:r>
        <w:rPr>
          <w:rFonts w:ascii="Tajawal" w:eastAsia="Tajawal" w:hAnsi="Tajawal" w:cs="Times New Roman"/>
          <w:sz w:val="28"/>
          <w:szCs w:val="28"/>
          <w:rtl/>
        </w:rPr>
        <w:lastRenderedPageBreak/>
        <w:t>ومن التوصيات التي خرجت عن الجلسة، تعزيز الوعي المجتمعي بخطورة تأثير خطاب الكراهية على السلم الأهلي، وضرور</w:t>
      </w:r>
      <w:r>
        <w:rPr>
          <w:rFonts w:ascii="Tajawal" w:eastAsia="Tajawal" w:hAnsi="Tajawal" w:cs="Times New Roman"/>
          <w:sz w:val="28"/>
          <w:szCs w:val="28"/>
          <w:rtl/>
        </w:rPr>
        <w:t>ة تجريم خطاب الكراهية، وتمكين العاملين</w:t>
      </w:r>
      <w:r>
        <w:rPr>
          <w:rFonts w:ascii="Tajawal" w:eastAsia="Tajawal" w:hAnsi="Tajawal" w:cs="Tajawal"/>
          <w:sz w:val="28"/>
          <w:szCs w:val="28"/>
          <w:rtl/>
        </w:rPr>
        <w:t>/</w:t>
      </w:r>
      <w:r>
        <w:rPr>
          <w:rFonts w:ascii="Tajawal" w:eastAsia="Tajawal" w:hAnsi="Tajawal" w:cs="Times New Roman"/>
          <w:sz w:val="28"/>
          <w:szCs w:val="28"/>
          <w:rtl/>
        </w:rPr>
        <w:t>ات في الحقل الإعلامي لتقديم خطاب متوازن، بالإضافة إلى تفعيل دور المجتمع المدني كصلة وصل بين السلطة والمجتمع، إلى جانب إشراك الشباب والفاعلين</w:t>
      </w:r>
      <w:r>
        <w:rPr>
          <w:rFonts w:ascii="Tajawal" w:eastAsia="Tajawal" w:hAnsi="Tajawal" w:cs="Tajawal"/>
          <w:sz w:val="28"/>
          <w:szCs w:val="28"/>
          <w:rtl/>
        </w:rPr>
        <w:t>/</w:t>
      </w:r>
      <w:r>
        <w:rPr>
          <w:rFonts w:ascii="Tajawal" w:eastAsia="Tajawal" w:hAnsi="Tajawal" w:cs="Times New Roman"/>
          <w:sz w:val="28"/>
          <w:szCs w:val="28"/>
          <w:rtl/>
        </w:rPr>
        <w:t>ات المجتمعيين</w:t>
      </w:r>
      <w:r>
        <w:rPr>
          <w:rFonts w:ascii="Tajawal" w:eastAsia="Tajawal" w:hAnsi="Tajawal" w:cs="Tajawal"/>
          <w:sz w:val="28"/>
          <w:szCs w:val="28"/>
          <w:rtl/>
        </w:rPr>
        <w:t>/</w:t>
      </w:r>
      <w:r>
        <w:rPr>
          <w:rFonts w:ascii="Tajawal" w:eastAsia="Tajawal" w:hAnsi="Tajawal" w:cs="Times New Roman"/>
          <w:sz w:val="28"/>
          <w:szCs w:val="28"/>
          <w:rtl/>
        </w:rPr>
        <w:t>ات، وتمكين النساء من مواجهة هذا ا لخطاب وتعزيز دورهن في مكافحت</w:t>
      </w:r>
      <w:r>
        <w:rPr>
          <w:rFonts w:ascii="Tajawal" w:eastAsia="Tajawal" w:hAnsi="Tajawal" w:cs="Times New Roman"/>
          <w:sz w:val="28"/>
          <w:szCs w:val="28"/>
          <w:rtl/>
        </w:rPr>
        <w:t>ه</w:t>
      </w:r>
      <w:r>
        <w:rPr>
          <w:rFonts w:ascii="Tajawal" w:eastAsia="Tajawal" w:hAnsi="Tajawal" w:cs="Tajawal"/>
          <w:sz w:val="28"/>
          <w:szCs w:val="28"/>
          <w:rtl/>
        </w:rPr>
        <w:t>.</w:t>
      </w:r>
    </w:p>
    <w:p w14:paraId="00000012" w14:textId="41A7340A" w:rsidR="00FA7CB4" w:rsidRDefault="005565D2" w:rsidP="005565D2">
      <w:pPr>
        <w:bidi/>
        <w:spacing w:before="240" w:after="240" w:line="240" w:lineRule="auto"/>
        <w:rPr>
          <w:rFonts w:ascii="Tajawal" w:eastAsia="Tajawal" w:hAnsi="Tajawal" w:cs="Tajawal"/>
          <w:sz w:val="26"/>
          <w:szCs w:val="26"/>
          <w:rtl/>
          <w:lang w:bidi="ar"/>
        </w:rPr>
      </w:pPr>
      <w:r>
        <w:rPr>
          <w:rFonts w:ascii="Tajawal" w:eastAsia="Tajawal" w:hAnsi="Tajawal" w:cs="Times New Roman"/>
          <w:sz w:val="28"/>
          <w:szCs w:val="28"/>
          <w:rtl/>
        </w:rPr>
        <w:t xml:space="preserve">وتأتي هذه الجلسة في إطار جهود جمع البيانات، بهدف إعداد بحث شامل، حول خطاب الكراهية في شمال شرقي سوريا، بالتشارك بين منظمة </w:t>
      </w:r>
      <w:proofErr w:type="spellStart"/>
      <w:r>
        <w:rPr>
          <w:rFonts w:ascii="Tajawal" w:eastAsia="Tajawal" w:hAnsi="Tajawal" w:cs="Times New Roman"/>
          <w:sz w:val="28"/>
          <w:szCs w:val="28"/>
          <w:rtl/>
        </w:rPr>
        <w:t>نيكستيب</w:t>
      </w:r>
      <w:proofErr w:type="spellEnd"/>
      <w:r>
        <w:rPr>
          <w:rFonts w:ascii="Tajawal" w:eastAsia="Tajawal" w:hAnsi="Tajawal" w:cs="Times New Roman"/>
          <w:sz w:val="28"/>
          <w:szCs w:val="28"/>
          <w:rtl/>
        </w:rPr>
        <w:t>، ومنظمة جسور الأمل، والمركز السوري للدراسات والحوار</w:t>
      </w:r>
      <w:r>
        <w:rPr>
          <w:rFonts w:ascii="Tajawal" w:eastAsia="Tajawal" w:hAnsi="Tajawal" w:cs="Tajawal"/>
          <w:sz w:val="28"/>
          <w:szCs w:val="28"/>
          <w:rtl/>
        </w:rPr>
        <w:t xml:space="preserve">. </w:t>
      </w:r>
      <w:bookmarkStart w:id="0" w:name="_GoBack"/>
      <w:bookmarkEnd w:id="0"/>
    </w:p>
    <w:p w14:paraId="00000013" w14:textId="77777777" w:rsidR="00FA7CB4" w:rsidRDefault="00FA7CB4">
      <w:pPr>
        <w:bidi/>
        <w:rPr>
          <w:rFonts w:ascii="Tajawal" w:eastAsia="Tajawal" w:hAnsi="Tajawal" w:cs="Tajawal"/>
          <w:sz w:val="26"/>
          <w:szCs w:val="26"/>
          <w:rtl/>
          <w:lang w:bidi="ar"/>
        </w:rPr>
      </w:pPr>
    </w:p>
    <w:p w14:paraId="00000014" w14:textId="77777777" w:rsidR="00FA7CB4" w:rsidRDefault="00FA7CB4">
      <w:pPr>
        <w:bidi/>
        <w:rPr>
          <w:rFonts w:ascii="Tajawal" w:eastAsia="Tajawal" w:hAnsi="Tajawal" w:cs="Tajawal"/>
          <w:sz w:val="26"/>
          <w:szCs w:val="26"/>
          <w:rtl/>
          <w:lang w:bidi="ar"/>
        </w:rPr>
      </w:pPr>
    </w:p>
    <w:p w14:paraId="00000015" w14:textId="77777777" w:rsidR="00FA7CB4" w:rsidRDefault="00FA7CB4">
      <w:pPr>
        <w:bidi/>
        <w:rPr>
          <w:rFonts w:ascii="Tajawal" w:eastAsia="Tajawal" w:hAnsi="Tajawal" w:cs="Tajawal"/>
          <w:rtl/>
          <w:lang w:bidi="ar"/>
        </w:rPr>
      </w:pPr>
    </w:p>
    <w:p w14:paraId="00000016" w14:textId="77777777" w:rsidR="00FA7CB4" w:rsidRDefault="00FA7CB4">
      <w:pPr>
        <w:bidi/>
        <w:spacing w:before="240" w:after="240"/>
        <w:rPr>
          <w:rFonts w:ascii="Tajawal" w:eastAsia="Tajawal" w:hAnsi="Tajawal" w:cs="Tajawal"/>
          <w:rtl/>
          <w:lang w:bidi="ar"/>
        </w:rPr>
      </w:pPr>
    </w:p>
    <w:sectPr w:rsidR="00FA7CB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jawal">
    <w:charset w:val="00"/>
    <w:family w:val="auto"/>
    <w:pitch w:val="default"/>
    <w:embedRegular r:id="rId1" w:fontKey="{F5E3C79F-9FC2-483D-96E6-4D86F585FDDD}"/>
    <w:embedBold r:id="rId2" w:fontKey="{3170659B-92E2-461D-A8F8-1404F18DBFC7}"/>
  </w:font>
  <w:font w:name="Calibri">
    <w:panose1 w:val="020F0502020204030204"/>
    <w:charset w:val="00"/>
    <w:family w:val="swiss"/>
    <w:pitch w:val="variable"/>
    <w:sig w:usb0="E4002EFF" w:usb1="C200247B" w:usb2="00000009" w:usb3="00000000" w:csb0="000001FF" w:csb1="00000000"/>
    <w:embedRegular r:id="rId3" w:fontKey="{17B1467A-6207-4051-A0DA-7DB890871166}"/>
  </w:font>
  <w:font w:name="Cambria">
    <w:panose1 w:val="02040503050406030204"/>
    <w:charset w:val="00"/>
    <w:family w:val="roman"/>
    <w:pitch w:val="variable"/>
    <w:sig w:usb0="E00006FF" w:usb1="420024FF" w:usb2="02000000" w:usb3="00000000" w:csb0="0000019F" w:csb1="00000000"/>
    <w:embedRegular r:id="rId4" w:fontKey="{79772724-C974-4F23-8E09-0A478EA44D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CB4"/>
    <w:rsid w:val="005565D2"/>
    <w:rsid w:val="00FA7C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DDB30"/>
  <w15:docId w15:val="{8848CD01-7A4D-416A-BA83-83DF3432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411</Words>
  <Characters>2347</Characters>
  <Application>Microsoft Office Word</Application>
  <DocSecurity>0</DocSecurity>
  <Lines>19</Lines>
  <Paragraphs>5</Paragraphs>
  <ScaleCrop>false</ScaleCrop>
  <Company>SACC</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Maher Fattouh</cp:lastModifiedBy>
  <cp:revision>2</cp:revision>
  <dcterms:created xsi:type="dcterms:W3CDTF">2025-12-01T07:42:00Z</dcterms:created>
  <dcterms:modified xsi:type="dcterms:W3CDTF">2025-12-01T07:44:00Z</dcterms:modified>
</cp:coreProperties>
</file>